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9C15E5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5DFA83D2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0D917082" w:rsidR="00A467FB" w:rsidRDefault="009C15E5">
      <w:pPr>
        <w:pStyle w:val="BodyText"/>
      </w:pPr>
      <w:r>
        <w:rPr>
          <w:sz w:val="22"/>
        </w:rPr>
        <w:pict w14:anchorId="36B20682">
          <v:shape id="_x0000_s1027" type="#_x0000_t202" style="position:absolute;margin-left:26pt;margin-top:8.15pt;width:255.3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71"/>
                  </w:tblGrid>
                  <w:tr w:rsidR="00A467FB" w14:paraId="36B206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71" w:type="dxa"/>
                      </w:tcPr>
                      <w:p w14:paraId="36B20688" w14:textId="320672E9" w:rsidR="00A467FB" w:rsidRDefault="00942D2D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 w:rsidRPr="00942D2D">
                          <w:rPr>
                            <w:color w:val="58595B"/>
                            <w:sz w:val="20"/>
                          </w:rPr>
                          <w:t>AT-HDR-M2C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6EA00932" w:rsidR="00A467FB" w:rsidRDefault="009C15E5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414.3pt;height:23.05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923"/>
                  </w:tblGrid>
                  <w:tr w:rsidR="00A467FB" w14:paraId="36B2068D" w14:textId="77777777" w:rsidTr="00E44CA9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923" w:type="dxa"/>
                      </w:tcPr>
                      <w:p w14:paraId="577CA231" w14:textId="77777777" w:rsidR="00E44CA9" w:rsidRPr="00E44CA9" w:rsidRDefault="00E44CA9" w:rsidP="00E44CA9">
                        <w:pPr>
                          <w:pStyle w:val="TableParagraph"/>
                          <w:ind w:left="725"/>
                          <w:rPr>
                            <w:color w:val="58595B"/>
                            <w:sz w:val="20"/>
                          </w:rPr>
                        </w:pPr>
                        <w:r w:rsidRPr="00E44CA9">
                          <w:rPr>
                            <w:color w:val="58595B"/>
                            <w:sz w:val="20"/>
                          </w:rPr>
                          <w:t>Ultra High Data Dolby/DTD to 2CH down-converter</w:t>
                        </w:r>
                      </w:p>
                      <w:p w14:paraId="36B2068C" w14:textId="63670F89" w:rsidR="00A467FB" w:rsidRDefault="00E44CA9" w:rsidP="00E44CA9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E44CA9">
                          <w:rPr>
                            <w:color w:val="58595B"/>
                            <w:sz w:val="20"/>
                          </w:rPr>
                          <w:t>W/ analog audio out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24B1FE4A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  <w:r w:rsidRPr="00FD100F">
              <w:rPr>
                <w:color w:val="58595B"/>
                <w:sz w:val="20"/>
              </w:rPr>
              <w:t>Electrical Equipment (Safety) Regulations 2016</w:t>
            </w: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C" w14:textId="5A1EF645" w:rsidR="00A467FB" w:rsidRDefault="00A467FB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68569240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0E668C67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9C15E5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76F44D3E" w:rsidR="00A467FB" w:rsidRDefault="009C15E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710F5F">
              <w:rPr>
                <w:color w:val="58595B"/>
                <w:sz w:val="20"/>
              </w:rPr>
              <w:t xml:space="preserve"> 2</w:t>
            </w:r>
            <w:r>
              <w:rPr>
                <w:color w:val="58595B"/>
                <w:sz w:val="20"/>
              </w:rPr>
              <w:t>1</w:t>
            </w:r>
            <w:r w:rsidR="00710F5F">
              <w:rPr>
                <w:color w:val="58595B"/>
                <w:sz w:val="20"/>
              </w:rPr>
              <w:t>, 202</w:t>
            </w:r>
            <w:r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710F5F"/>
    <w:rsid w:val="00942D2D"/>
    <w:rsid w:val="009C15E5"/>
    <w:rsid w:val="00A467FB"/>
    <w:rsid w:val="00E44CA9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5</cp:revision>
  <dcterms:created xsi:type="dcterms:W3CDTF">2021-05-25T17:29:00Z</dcterms:created>
  <dcterms:modified xsi:type="dcterms:W3CDTF">2022-02-21T17:45:00Z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